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right"/>
        <w:textAlignment w:val="auto"/>
        <w:rPr>
          <w:rFonts w:ascii="Times New Roman" w:hAnsi="Times New Roman" w:eastAsia="Times New Roman" w:cs="Times New Roman"/>
          <w:color w:val="22272F"/>
          <w:kern w:val="0"/>
          <w:sz w:val="26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color w:val="22272F"/>
          <w:kern w:val="0"/>
          <w:sz w:val="26"/>
          <w:szCs w:val="22"/>
          <w:lang w:eastAsia="ru-RU" w:bidi="ar-SA"/>
        </w:rPr>
        <w:t>Приложение №3 к Порядку использования</w:t>
      </w:r>
    </w:p>
    <w:p>
      <w:pPr>
        <w:pStyle w:val="Normal"/>
        <w:shd w:val="clear" w:color="auto" w:fill="FFFFFF"/>
        <w:jc w:val="right"/>
        <w:textAlignment w:val="auto"/>
        <w:rPr>
          <w:rFonts w:ascii="Times New Roman" w:hAnsi="Times New Roman" w:eastAsia="Times New Roman" w:cs="Times New Roman"/>
          <w:color w:val="22272F"/>
          <w:kern w:val="0"/>
          <w:sz w:val="26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color w:val="22272F"/>
          <w:kern w:val="0"/>
          <w:sz w:val="26"/>
          <w:szCs w:val="22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22272F"/>
          <w:kern w:val="0"/>
          <w:sz w:val="26"/>
          <w:szCs w:val="22"/>
          <w:lang w:eastAsia="ru-RU" w:bidi="ar-SA"/>
        </w:rPr>
        <w:t>бюджетных ассигнований резервного фонда</w:t>
      </w:r>
    </w:p>
    <w:p>
      <w:pPr>
        <w:pStyle w:val="Style1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</w:t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о распределении бюджетных ассигнований резервного фонда </w:t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Казанского муниципального района</w:t>
      </w:r>
    </w:p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по состоянию на 01 января 2025 года</w:t>
      </w:r>
    </w:p>
    <w:p>
      <w:pPr>
        <w:pStyle w:val="Style1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(рублей)</w:t>
      </w:r>
    </w:p>
    <w:tbl>
      <w:tblPr>
        <w:tblStyle w:val="a3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2"/>
        <w:gridCol w:w="2219"/>
        <w:gridCol w:w="2102"/>
        <w:gridCol w:w="3016"/>
        <w:gridCol w:w="2195"/>
      </w:tblGrid>
      <w:tr>
        <w:trPr/>
        <w:tc>
          <w:tcPr>
            <w:tcW w:w="5602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</w:r>
          </w:p>
        </w:tc>
        <w:tc>
          <w:tcPr>
            <w:tcW w:w="2219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Утверждено на текущий финансовый год</w:t>
            </w:r>
          </w:p>
        </w:tc>
        <w:tc>
          <w:tcPr>
            <w:tcW w:w="2102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Распределено бюджетных ассигнований</w:t>
            </w:r>
          </w:p>
        </w:tc>
        <w:tc>
          <w:tcPr>
            <w:tcW w:w="3016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Подготовлено проектов распоряжений о выделении бюджетных ассигнований резервного фонда</w:t>
            </w:r>
          </w:p>
        </w:tc>
        <w:tc>
          <w:tcPr>
            <w:tcW w:w="2195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Остаток бюджетных ассигнований</w:t>
            </w:r>
          </w:p>
        </w:tc>
      </w:tr>
      <w:tr>
        <w:trPr/>
        <w:tc>
          <w:tcPr>
            <w:tcW w:w="5602" w:type="dxa"/>
            <w:tcBorders/>
          </w:tcPr>
          <w:p>
            <w:pPr>
              <w:pStyle w:val="Style19"/>
              <w:widowControl/>
              <w:spacing w:before="0"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резервного фонда Казанского муниципального района</w:t>
            </w:r>
          </w:p>
        </w:tc>
        <w:tc>
          <w:tcPr>
            <w:tcW w:w="2219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900000,00</w:t>
            </w:r>
          </w:p>
        </w:tc>
        <w:tc>
          <w:tcPr>
            <w:tcW w:w="2102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534300,00</w:t>
            </w:r>
          </w:p>
        </w:tc>
        <w:tc>
          <w:tcPr>
            <w:tcW w:w="3016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195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365700,00</w:t>
            </w:r>
          </w:p>
        </w:tc>
      </w:tr>
      <w:tr>
        <w:trPr/>
        <w:tc>
          <w:tcPr>
            <w:tcW w:w="5602" w:type="dxa"/>
            <w:tcBorders/>
          </w:tcPr>
          <w:p>
            <w:pPr>
              <w:pStyle w:val="Style19"/>
              <w:widowControl/>
              <w:spacing w:before="0"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219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2102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3016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2195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5602" w:type="dxa"/>
            <w:tcBorders/>
          </w:tcPr>
          <w:p>
            <w:pPr>
              <w:pStyle w:val="Style19"/>
              <w:widowControl/>
              <w:spacing w:before="0"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предупреждение и ликвидацию чрезвычайных ситуаций и их последствий</w:t>
            </w:r>
          </w:p>
        </w:tc>
        <w:tc>
          <w:tcPr>
            <w:tcW w:w="2219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</w:p>
        </w:tc>
        <w:tc>
          <w:tcPr>
            <w:tcW w:w="2102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444300,00</w:t>
            </w:r>
          </w:p>
        </w:tc>
        <w:tc>
          <w:tcPr>
            <w:tcW w:w="3016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95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365700,00</w:t>
            </w:r>
          </w:p>
        </w:tc>
      </w:tr>
      <w:tr>
        <w:trPr/>
        <w:tc>
          <w:tcPr>
            <w:tcW w:w="5602" w:type="dxa"/>
            <w:tcBorders/>
          </w:tcPr>
          <w:p>
            <w:pPr>
              <w:pStyle w:val="Style19"/>
              <w:widowControl/>
              <w:spacing w:before="0" w:after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иные цели</w:t>
            </w:r>
          </w:p>
        </w:tc>
        <w:tc>
          <w:tcPr>
            <w:tcW w:w="2219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</w:t>
            </w:r>
          </w:p>
        </w:tc>
        <w:tc>
          <w:tcPr>
            <w:tcW w:w="2102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90000</w:t>
            </w:r>
          </w:p>
        </w:tc>
        <w:tc>
          <w:tcPr>
            <w:tcW w:w="3016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195" w:type="dxa"/>
            <w:tcBorders/>
          </w:tcPr>
          <w:p>
            <w:pPr>
              <w:pStyle w:val="Style19"/>
              <w:widowControl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</w:tc>
      </w:tr>
    </w:tbl>
    <w:p>
      <w:pPr>
        <w:pStyle w:val="Style19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276" w:before="0" w:after="200"/>
        <w:jc w:val="center"/>
        <w:textAlignment w:val="auto"/>
        <w:rPr>
          <w:rFonts w:ascii="Times New Roman" w:hAnsi="Times New Roman" w:eastAsia="Calibri" w:cs="Calibri"/>
          <w:kern w:val="0"/>
          <w:sz w:val="28"/>
          <w:szCs w:val="28"/>
          <w:lang w:eastAsia="en-US" w:bidi="ar-SA"/>
        </w:rPr>
      </w:pPr>
      <w:r>
        <w:rPr>
          <w:rFonts w:eastAsia="Calibri" w:cs="Calibri" w:ascii="Times New Roman" w:hAnsi="Times New Roman"/>
          <w:kern w:val="0"/>
          <w:sz w:val="28"/>
          <w:szCs w:val="28"/>
          <w:lang w:eastAsia="en-US" w:bidi="ar-SA"/>
        </w:rPr>
        <w:t>Глава района                                                                                Т.А.Богданова</w:t>
      </w:r>
    </w:p>
    <w:p>
      <w:pPr>
        <w:pStyle w:val="Style19"/>
        <w:spacing w:before="0" w:after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397" w:footer="0" w:bottom="39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1ad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екст в заданном формате"/>
    <w:basedOn w:val="Normal"/>
    <w:qFormat/>
    <w:rsid w:val="00b01ad4"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1ad4"/>
    <w:pPr>
      <w:spacing w:after="0" w:line="240" w:lineRule="auto"/>
    </w:pPr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1</Pages>
  <Words>86</Words>
  <Characters>616</Characters>
  <CharactersWithSpaces>758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2025-03-13T06:21:00Z</dcterms:created>
  <dc:creator>Мельникова</dc:creator>
  <dc:description/>
  <dc:language>ru-RU</dc:language>
  <cp:lastModifiedBy>Мельникова</cp:lastModifiedBy>
  <dcterms:modified xsi:type="dcterms:W3CDTF">2025-03-17T12:23:00Z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