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spacing w:lineRule="atLeast" w:line="0" w:before="240" w:after="60"/>
        <w:jc w:val="center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2834005</wp:posOffset>
            </wp:positionH>
            <wp:positionV relativeFrom="paragraph">
              <wp:posOffset>-53340</wp:posOffset>
            </wp:positionV>
            <wp:extent cx="407670" cy="572770"/>
            <wp:effectExtent l="0" t="0" r="0" b="0"/>
            <wp:wrapNone/>
            <wp:docPr id="1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ДУМА КАЗАНСКОГО  МУНИЦИПАЛЬНОГО  ОКРУГА</w:t>
      </w:r>
    </w:p>
    <w:p>
      <w:pPr>
        <w:pStyle w:val="Heading6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Heading6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>
      <w:pPr>
        <w:pStyle w:val="Normal"/>
        <w:jc w:val="center"/>
        <w:rPr/>
      </w:pPr>
      <w:r>
        <w:rPr/>
      </w:r>
    </w:p>
    <w:p>
      <w:pPr>
        <w:pStyle w:val="Title"/>
        <w:jc w:val="both"/>
        <w:rPr>
          <w:b w:val="false"/>
          <w:bCs w:val="false"/>
          <w:i/>
          <w:i/>
          <w:sz w:val="28"/>
          <w:szCs w:val="28"/>
        </w:rPr>
      </w:pPr>
      <w:r>
        <w:rPr>
          <w:b w:val="false"/>
          <w:bCs w:val="false"/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«__»__________ 2025 г.                                                                     Проект                            </w:t>
      </w:r>
    </w:p>
    <w:p>
      <w:pPr>
        <w:pStyle w:val="Normal"/>
        <w:jc w:val="center"/>
        <w:rPr/>
      </w:pPr>
      <w:r>
        <w:rPr/>
        <w:t>с. Казанское</w:t>
      </w:r>
    </w:p>
    <w:p>
      <w:pPr>
        <w:pStyle w:val="Normal"/>
        <w:jc w:val="both"/>
        <w:rPr>
          <w:i/>
          <w:i/>
          <w:sz w:val="34"/>
          <w:szCs w:val="34"/>
        </w:rPr>
      </w:pPr>
      <w:r>
        <w:rPr>
          <w:i/>
          <w:sz w:val="34"/>
          <w:szCs w:val="34"/>
        </w:rPr>
      </w:r>
    </w:p>
    <w:p>
      <w:pPr>
        <w:pStyle w:val="Normal"/>
        <w:jc w:val="center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 xml:space="preserve">О бюджете Казанского муниципального округа </w:t>
      </w:r>
      <w:r>
        <w:rPr>
          <w:b/>
          <w:bCs/>
          <w:i w:val="false"/>
          <w:iCs w:val="false"/>
          <w:sz w:val="26"/>
          <w:szCs w:val="26"/>
        </w:rPr>
        <w:t>Тюменской области</w:t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на 2026 год и на плановый период 2027 и 2028 годов</w:t>
      </w:r>
    </w:p>
    <w:p>
      <w:pPr>
        <w:pStyle w:val="Normal"/>
        <w:jc w:val="both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1. Основные характеристики бюджета Казанского муниципального округа </w:t>
      </w:r>
      <w:r>
        <w:rPr>
          <w:b/>
          <w:sz w:val="26"/>
          <w:szCs w:val="26"/>
        </w:rPr>
        <w:t xml:space="preserve">Тюменской области </w:t>
      </w:r>
      <w:r>
        <w:rPr>
          <w:b/>
          <w:sz w:val="26"/>
          <w:szCs w:val="26"/>
        </w:rPr>
        <w:t>на 2026 год и на плановый период 2027 и 2028 годов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основные характеристики бюджета 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>на 2026 год: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общий объем доходов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в сумме  1505790 тыс. рублей,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общий объем расходов бюджета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 xml:space="preserve"> в сумме  1505790 тыс. рублей,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верхний предел муниципального внутреннего долга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>на 1 января 2027 года в сумме 0 тыс. рублей, в том числе верхний предел долга по муниципальным гарантиям в валюте Российской Федерации на 1 января 2027 года в сумме 0 тыс. рублей,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дефицит (профицит) бюджета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 xml:space="preserve"> в сумме 0 тыс. рублей.   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основные  характеристики  бюджета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>на 2027 год  и на 2028 год: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общий объем доходов бюджета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>на 2027 год в сумме  1534891 тыс. рублей и на 2028 год в сумме  1592588 тыс. рублей,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общий объем расходов бюджета Казанского муниципального округа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 на 2027 год в сумме 1534891 тыс. рублей, в том числе условно утвержденные расходы в сумме  25341 тыс. рублей, и на 2028 год в сумме 1592588 тыс. рублей, в том числе условно утвержденные расходы в сумме  53485 тыс. рублей,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дефицит (профицит)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 на 2027 год в сумме 0 тыс. рублей и на 2028 год в сумме  0 тыс. рублей,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верхний предел муниципального внутреннего долга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на 1 января 2028 года в сумме 0 тыс. рублей, на 1 января 2029 года в сумме 0 тыс. рублей, в том числе верхний предел  долга   по муниципальным гарантиям в валюте Российской Федерации на 1 января                     2028 года в сумме 0 тыс. рублей, на 1 января 2029 года в сумме 0 тыс. рублей.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2. Источники финансирования дефицита бюджета Казанского муниципального округа </w:t>
      </w:r>
      <w:r>
        <w:rPr>
          <w:b/>
          <w:sz w:val="26"/>
          <w:szCs w:val="26"/>
        </w:rPr>
        <w:t>Тюменской области</w:t>
      </w:r>
      <w:r>
        <w:rPr>
          <w:b/>
          <w:sz w:val="26"/>
          <w:szCs w:val="26"/>
        </w:rPr>
        <w:t xml:space="preserve"> на 2026 год и на плановый период 2027 и 2028 годов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Утвердить  источники финансирования дефицита бюджета  Казанского муниципального  округа  </w:t>
      </w:r>
      <w:r>
        <w:rPr>
          <w:sz w:val="26"/>
          <w:szCs w:val="26"/>
        </w:rPr>
        <w:t>Тюменской  области</w:t>
      </w:r>
      <w:r>
        <w:rPr>
          <w:sz w:val="26"/>
          <w:szCs w:val="26"/>
        </w:rPr>
        <w:t xml:space="preserve">  на  2026 год  согласно приложению</w:t>
      </w:r>
    </w:p>
    <w:p>
      <w:pPr>
        <w:pStyle w:val="Normal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1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Утвердить источники финансирования дефицита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на плановый период 2027 и 2028 годов согласно приложению № 2 к настоящему решению.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3. Доходы бюджета Казанского муниципального округа </w:t>
      </w:r>
      <w:r>
        <w:rPr>
          <w:b/>
          <w:sz w:val="26"/>
          <w:szCs w:val="26"/>
        </w:rPr>
        <w:t>Тюменской области</w:t>
      </w:r>
      <w:r>
        <w:rPr>
          <w:b/>
          <w:sz w:val="26"/>
          <w:szCs w:val="26"/>
        </w:rPr>
        <w:t xml:space="preserve"> на 2026 год и на плановый период 2027 и 2028 годов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Учесть, что  доходы  формируются  в соответствии  с действующим законодательством  за счет: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федеральных налогов, в том числе налогов, предусмотренных специальными налоговыми режимами, и сборов,  а также  неналоговых доходов;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межбюджетных трансфертов из областного бюджета по группе «Безвозмездные поступления».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Установить,  что в доходы 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от использования имущества, находящегося в муниципальной собственности,  зачисляются  25 процентов  суммы прибыли,  оставшейся  после уплаты налогов и иных обязательных платежей муниципальных унитарных  предприятий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за год, предшествующий  текущему финансовому году.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Утвердить доходы 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по группам, подгруппам и статьям бюджетной классификации: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на 2026 год согласно приложению № 3 к настоящему решению;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на плановый период 2027 и 2028 годов согласно приложению № 4                            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Учесть, что не использованные по состоянию на 1 января 2026 года  остатки  межбюджетных трансфертов, предоставленных из областного бюджета   в бюджет Казанского муниципального округа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 xml:space="preserve">в форме субсидий, субвенций и иных межбюджетных трансфертов, имеющих целевое назначение подлежат возврату в областной бюджет в соответствии с действующим законодательством.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4. Бюджетные ассигнования бюджета Казанского  муниципального округа </w:t>
      </w:r>
      <w:r>
        <w:rPr>
          <w:b/>
          <w:sz w:val="26"/>
          <w:szCs w:val="26"/>
        </w:rPr>
        <w:t xml:space="preserve">Тюменской области </w:t>
      </w:r>
      <w:r>
        <w:rPr>
          <w:b/>
          <w:sz w:val="26"/>
          <w:szCs w:val="26"/>
        </w:rPr>
        <w:t>на 2026 год и на плановый период 2027 и 2028 годов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 распределение  бюджетных ассигнований по разделам и подразделам  классификации расходов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>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на 2026 год согласно приложению № 5 к настоящему решению;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на плановый период 2027 и 2028 годов согласно приложению № 6                            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>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 на 2026 год  согласно приложению № 7 к настоящему решению;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на плановый период 2027 и 2028 годов согласно приложению № 8                     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Утвердить ведомственную структуру расходов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по главным распорядителям бюджетных средств, разделам, подразделам, целевым  статьям (муниципальным программам и непрограммным направлениям деятельности), группам и подгруппам видов расходов классификации расходов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>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 на 2026 год согласно  приложению № 9 к настоящему решению;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на плановый период 2027 и 2028 согласно приложению № 10 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Учесть расходы, осуществляемые за счёт субвенций на исполнение государственных полномочий, передаваемых бюджету Казанского муниципального 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 на 2026 год согласно приложению  № 11 к  настоящему 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Учесть расходы, осуществляемые за счёт субвенций на исполнение государственных полномочий, передаваемых бюджету Казанского муниципального 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на плановый период 2027 и 2028 годов  согласно приложению № 12  к настоящему 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Установить, что доходы от платы за негативное воздействие на окружающую среду,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 административных штрафов, установленных Кодексом Тюменской области  об административной ответственности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 водным объектам, вследствие нарушений обязательных требований, зачисленные в  местный  бюджет, используются на обеспечение мероприятий, предусмотренных  статьями 16.6, 75.1, 78.2 Федерального закона  от 10 января 2002 года № 7-ФЗ «Об охране окружающей среды».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Учесть, что в составе расходов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предусмотрены средства: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сохранение уровня оплаты труда работников муниципальных учреждений в сфере образования, культуры, социального обслуживания в соответствии с целевыми показателями,  установленными  Указом Президента Российской Федерации от 7 мая 2012 года № 597 «О  мероприятиях по реализации государственной социальной политики», Указом Президента Российской Федерации от 1 июня 2012 года №  761 «О национальной стратегии действий в интересах детей на 2012-2017 годы» и Указом Президента Российской Федерации от 28 декабря  2012 года № 1688 «О некоторых мерах по реализации государственной политики в сфере  защиты детей-сирот и детей, оставшихся без попечения родителей»;</w:t>
      </w:r>
    </w:p>
    <w:p>
      <w:pPr>
        <w:pStyle w:val="Normal"/>
        <w:ind w:firstLine="567"/>
        <w:jc w:val="both"/>
        <w:rPr/>
      </w:pPr>
      <w:r>
        <w:rPr>
          <w:sz w:val="26"/>
          <w:szCs w:val="26"/>
        </w:rPr>
        <w:t xml:space="preserve">- на индексацию на 4 процента с 1 октября 2026 года,  на 4 процента с 1 октября 2027 года и на 4 процента с 1 октября 2028 года  заработной платы  работников  муниципальных учреждений бюджетной сферы, на которых не распространяются положения </w:t>
      </w:r>
      <w:r>
        <w:fldChar w:fldCharType="begin"/>
      </w:r>
      <w:r>
        <w:rPr>
          <w:rStyle w:val="Hyperlink"/>
          <w:sz w:val="26"/>
          <w:u w:val="none"/>
          <w:szCs w:val="26"/>
          <w:color w:val="auto"/>
        </w:rPr>
        <w:instrText xml:space="preserve"> HYPERLINK "https://internet.garant.ru/" \l "/document/70170950/entry/0"</w:instrText>
      </w:r>
      <w:r>
        <w:rPr>
          <w:rStyle w:val="Hyperlink"/>
          <w:sz w:val="26"/>
          <w:u w:val="none"/>
          <w:szCs w:val="26"/>
          <w:color w:val="auto"/>
        </w:rPr>
        <w:fldChar w:fldCharType="separate"/>
      </w:r>
      <w:r>
        <w:rPr>
          <w:rStyle w:val="Hyperlink"/>
          <w:color w:val="auto"/>
          <w:sz w:val="26"/>
          <w:szCs w:val="26"/>
          <w:u w:val="none"/>
        </w:rPr>
        <w:t>Указа</w:t>
      </w:r>
      <w:r>
        <w:rPr>
          <w:rStyle w:val="Hyperlink"/>
          <w:sz w:val="26"/>
          <w:u w:val="none"/>
          <w:szCs w:val="26"/>
          <w:color w:val="auto"/>
        </w:rPr>
        <w:fldChar w:fldCharType="end"/>
      </w:r>
      <w:r>
        <w:rPr>
          <w:sz w:val="26"/>
          <w:szCs w:val="26"/>
        </w:rPr>
        <w:t xml:space="preserve"> Президента Российской Федерации от 07.05.2012 N 597 "О мероприятиях по реализации государственной социальной политики", Указа Президента Российской Федерации от 01.06.2012 N 761 "О Национальной стратегии действий в интересах детей на 2012-2017 годы" и </w:t>
      </w:r>
      <w:r>
        <w:fldChar w:fldCharType="begin"/>
      </w:r>
      <w:r>
        <w:rPr>
          <w:rStyle w:val="Hyperlink"/>
          <w:sz w:val="26"/>
          <w:u w:val="none"/>
          <w:szCs w:val="26"/>
          <w:color w:val="auto"/>
        </w:rPr>
        <w:instrText xml:space="preserve"> HYPERLINK "https://internet.garant.ru/" \l "/document/70291040/entry/0"</w:instrText>
      </w:r>
      <w:r>
        <w:rPr>
          <w:rStyle w:val="Hyperlink"/>
          <w:sz w:val="26"/>
          <w:u w:val="none"/>
          <w:szCs w:val="26"/>
          <w:color w:val="auto"/>
        </w:rPr>
        <w:fldChar w:fldCharType="separate"/>
      </w:r>
      <w:r>
        <w:rPr>
          <w:rStyle w:val="Hyperlink"/>
          <w:color w:val="auto"/>
          <w:sz w:val="26"/>
          <w:szCs w:val="26"/>
          <w:u w:val="none"/>
        </w:rPr>
        <w:t>Указа</w:t>
      </w:r>
      <w:r>
        <w:rPr>
          <w:rStyle w:val="Hyperlink"/>
          <w:sz w:val="26"/>
          <w:u w:val="none"/>
          <w:szCs w:val="26"/>
          <w:color w:val="auto"/>
        </w:rPr>
        <w:fldChar w:fldCharType="end"/>
      </w:r>
      <w:r>
        <w:rPr>
          <w:sz w:val="26"/>
          <w:szCs w:val="26"/>
        </w:rPr>
        <w:t xml:space="preserve">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повышение заработной платы отдельных категорий работников бюджетной сферы в связи с установлением минимальной заработной платы в Тюменской области с 1 января 2026 года в размере 27093 рублей;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shd w:fill="auto" w:val="clear"/>
        </w:rPr>
        <w:t>на выполнение федерального полномочия по осуществлению воинского учета органами местного самоуправления муниципального округа, исходя из суммы затрат на содержание одного работника, осуществляющего воинский учет в  органах местного самоуправления и числа работников.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Число работников, осуществляющих  воинский учет в органах местного самоуправления  определяется с учетом следующих норм: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а) 1 освобожденный работник – при наличии на воинском учете от 500 до 1000 граждан;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>б) 1 освобожденный работник на каждую последующую 1000 граждан, состоящих на воинском учете.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Утвердить общий объем бюджетных ассигнований на исполнение  публичных нормативных  обязательств  на 2026 год  в сумме  2754 тыс. рублей, на плановый период 2027  и 2028 годов в сумме  2794 тыс. рублей ежегодно.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Утвердить в составе расходов бюджета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резервный фонд на 2026 –2028 годы в сумме  900 тыс. рублей ежегодно.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 Утвердить распределение бюджетных ассигнований по муниципальным программам: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на 2026 год согласно приложению  № 13 к настоящему решению;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на плановый период 2027 и 2028 годов  согласно приложению № 14                         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  Утвердить  муниципальный дорожный фонд на 2026 год в сумме                  20648 тыс. рублей, на 2027 год в сумме  28087 тыс. рублей, на 2028 год в сумме  29636 тыс. рублей.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12. Субсидии юридическим лицам, включая некоммерческие организации, индивидуальным предпринимателям, физическим лицам – производителям товаров (работ, услуг) предоставляются в случаях, установленных муниципальными правовыми актами муниципального округа, в соответствии с муниципальными программами, в порядке, утвержденном администрацией муниципального округа.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5. Муниципальные  внутренние заимствования Казанского муниципального округа  </w:t>
      </w:r>
      <w:r>
        <w:rPr>
          <w:b/>
          <w:sz w:val="26"/>
          <w:szCs w:val="26"/>
        </w:rPr>
        <w:t>Тюменской области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программу  муниципальных  внутренних заимствований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на 2026 год и на плановый  период 2027 и 2028 годов согласно приложению № 15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6. Особенности исполнения бюджета Казанского муниципального округа  </w:t>
      </w:r>
      <w:r>
        <w:rPr>
          <w:b/>
          <w:sz w:val="26"/>
          <w:szCs w:val="26"/>
        </w:rPr>
        <w:t>Тюменской области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следующие основания для внесения изменений в показатели сводной бюджетной росписи бюджета Казанского муниципального округа Тюменской области без внесения  изменений в решение о бюджете: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перераспределение бюджетных ассигнований, предусмотренных для исполнения публичных нормативных обязательств, в пределах общего объема ассигнований, утвержденных настоящим решением, а также превышение общего объема указанных ассигнований не более, чем на 5 процентов, за счет перераспределения средств бюджетных ассигнований, утвержденных настоящим решением, в текущем финансовом году;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изменение функций и полномочий главных распорядителей (распорядителей) бюджетных средств, а также в связи с передачей муниципального имущества, изменение подведомственности распорядителей (получателей) бюджетных средств;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 исполнение  судебных актов;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использование (перераспределение) средств резервного фонда;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использование в текущем году экономии бюджетных ассигнований, направляемых на оказание муниципальных услуг, реализацию муниципальных функций, в том числе перераспределение бюджетных ассигнований по разделам, подразделам, целевым статьям и видам расходов классификации расходов в рамках одного мероприятия муниципальной программы и одного главного распорядителя бюджетных средств;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 изменение  бюджетной классификации расходов бюджетов;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перераспределение  бюджетных ассигнований в целях достижения результатов и показателей национальных проектов и муниципальных программ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и выполнения условий софинансирования, устанавливаемых бюджету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при предоставлении межбюджетных трансфертов из других бюджетов бюджетной системы Российской Федерации, в целях финансового обеспечения мероприятий, связанных с 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коронавирусной инфекции;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8) изменение бюджетных ассигнований в случае получения уведомления о предоставлении субсидий, субвенций, иных межбюджетных трансфертов,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9) перераспределение бюджетных ассигнований между текущим финансовым годом и плановым периодом;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10) увеличение бюджетных ассигнований на сумму остатков средств муниципального дорожного фонда, не использованных в отчетном финансовом году, а также на положительную разницу между фактически поступившим и прогнозировавшимся в отчетном году объемом доходов бюджета, учитываемых при формировании муниципального дорожного фонда;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11) увеличение бюджетных ассигнований текущего финансового года на оплату заключенных муниципальных контрактов на поставку товаров,  выполнение работ, оказание услуг, подлежавших в соответствии с условиями этих муниципальных контрактов оплате в  отчетном финансовом году, в объеме, не превышающим остатка не использованных на начало  текущего финансового  года бюджетных ассигнований 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12) получение дотаций из других бюджетов бюджетной системы Российской Федерации.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Максимальный размер пенсии за выслугу лет лицам, замещавшим  муниципальные должности и (или) должности муниципальной службы  составляет  6,5 тыс. рублей в месяц.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 Установить, что  методическое и программно-техническое сопровождение бюджетного процесса, организованного органами местного самоуправления,  осуществляется территориальным управлением по Казанскому округу Департамента финансов Тюменской области на основании соглашения, заключенного с Администрацией Казанского муниципального округа  в соответствии с требованиями бюджетного законодательства.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 Установить, что наряду с органами муниципального финансового контроля главные распорядители, распорядители бюджетных средств обеспечивают контроль подведомственных организаций и получателей бюджетных средств в части эффективного и целевого использования средств бюджета Казанского муниципального округ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>, своевременного их возврата, предоставления отчетности.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   Предоставить Администрации Казанского муниципального округа право принимать решение по урегулированию задолженности, возникшей между организациями жилищно-коммунального комплекса  и поставщиками топливно-энергетических ресурсов, путем заключения договора перемены лица в обязательстве.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Установить, что информация о совершаемых действиях, направленных на реализацию Казанским муниципальным округом </w:t>
      </w:r>
      <w:r>
        <w:rPr>
          <w:sz w:val="26"/>
          <w:szCs w:val="26"/>
        </w:rPr>
        <w:t xml:space="preserve">Тюменской области </w:t>
      </w:r>
      <w:r>
        <w:rPr>
          <w:sz w:val="26"/>
          <w:szCs w:val="26"/>
        </w:rPr>
        <w:t xml:space="preserve">права регресса, установленного пунктом 3.1 статьи 1081 Гражданского кодекса Российской Федерации, либо об отсутствии оснований для предъявления иска о взыскании денежных средств в порядке регресса представляется главным распорядителем бюджетных средств в финансовый орган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ежеквартально не позднее 25 числа месяца, следующего за отчетным кварталом, в форме электронного документа, подписанного усиленной квалифицированной электронной подписью руководителя главного распорядителя бюджетных средств или уполномоченного им лица, а при отсутствии технической возможности - в виде документа на бумажном носителе, подписанного руководителем главного распорядителя бюджетных средств или уполномоченным им лицом.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7. Особенности использования бюджетных ассигнований  бюджета Казанского муниципального округа  </w:t>
      </w:r>
      <w:r>
        <w:rPr>
          <w:b/>
          <w:sz w:val="26"/>
          <w:szCs w:val="26"/>
        </w:rPr>
        <w:t>Тюменской области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26.07.2006г. № 135-ФЗ  «О защите конкуренции»  муниципальные преференции предоставляются на цели, по видам деятельности и направлениям гарантирования согласно приложению № 16                        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Размеры муниципальных преференций и их конкретные получатели либо порядок определения размера муниципальной преференции и ее конкретного получателя определяются в соответствии с настоящим Решением, иными муниципальными правовыми актами Администрации Казанского муниципального округа.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решению Администрации Казанского муниципального округа в целях организации транспортного обслуживания населения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и обеспечения социальной поддержки отдельных категорий граждан в отношении проезда на пассажирском транспорте общего пользования, в 2026 году предоставляются субсидии Обществу с ограниченной ответственностью «Автотранспортное предприятие  Казанского района» в размере, определенном в соответствии с порядками, установленными администрацией Казанского муниципального округа: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возмещение перевозчику понесенных затрат на оплату услуг автовокзалов и автостанций, образовавшихся в результате осуществления регулярных перевозок пассажиров и багажа на автомобильном транспорте общего пользования (кроме легкового такси) по муниципальным маршрутам;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возмещение перевозчику недополученных доходов на оплату проезда льготных категорий граждан на автомобильном транспорте общего пользования по муниципальным маршрутам (обеспечение социальной поддержки отдельных категорий граждан в отношении проезда на пассажирском транспорте общего пользования).</w:t>
      </w:r>
    </w:p>
    <w:p>
      <w:pPr>
        <w:pStyle w:val="Normal"/>
        <w:ind w:firstLine="567"/>
        <w:jc w:val="both"/>
        <w:rPr/>
      </w:pPr>
      <w:r>
        <w:rPr>
          <w:sz w:val="26"/>
          <w:szCs w:val="26"/>
        </w:rPr>
        <w:t>По решению Администрации Казанского муниципального округа в целях организации жилищно-коммунального хозяйства Казанского муниципального округ</w:t>
      </w:r>
      <w:r>
        <w:rPr>
          <w:sz w:val="26"/>
          <w:szCs w:val="26"/>
        </w:rPr>
        <w:t>а Тюменской области</w:t>
      </w:r>
      <w:r>
        <w:rPr>
          <w:sz w:val="26"/>
          <w:szCs w:val="26"/>
        </w:rPr>
        <w:t xml:space="preserve">, в 2026 году предоставляется субсидия </w:t>
      </w:r>
      <w:r>
        <w:rPr>
          <w:rStyle w:val="41"/>
          <w:color w:val="000000"/>
          <w:kern w:val="2"/>
          <w:sz w:val="26"/>
          <w:szCs w:val="26"/>
          <w:lang w:eastAsia="en-US"/>
        </w:rPr>
        <w:t>Муниципальному Унитарному Предприятию жилищно – коммунального хозяйства Казанского района</w:t>
      </w:r>
      <w:r>
        <w:rPr>
          <w:sz w:val="26"/>
          <w:szCs w:val="26"/>
        </w:rPr>
        <w:t xml:space="preserve"> в размере, определенном в соответствии с порядком, установленным администрацией Казанского муниципального округа </w:t>
      </w:r>
      <w:r>
        <w:rPr>
          <w:rStyle w:val="41"/>
          <w:color w:val="000000"/>
          <w:kern w:val="2"/>
          <w:sz w:val="26"/>
          <w:szCs w:val="26"/>
          <w:lang w:eastAsia="en-US"/>
        </w:rPr>
        <w:t>на возмещение затрат за фактически выполненные работы на объектах жилищно – коммунального хозяйства.</w:t>
      </w:r>
      <w:r>
        <w:rPr>
          <w:sz w:val="26"/>
          <w:szCs w:val="26"/>
        </w:rPr>
        <w:t xml:space="preserve">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Статья 8. Муниципальные гарантии Казанского муниципального округа </w:t>
      </w:r>
      <w:r>
        <w:rPr>
          <w:b/>
          <w:sz w:val="26"/>
          <w:szCs w:val="26"/>
        </w:rPr>
        <w:t>Тюменской области</w:t>
      </w:r>
      <w:r>
        <w:rPr>
          <w:b/>
          <w:sz w:val="26"/>
          <w:szCs w:val="26"/>
        </w:rPr>
        <w:t xml:space="preserve">  в валюте Российской Федерации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Программу муниципальных гарантий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в валюте Российской Федерации на 2026 год и на плановый период 2027 и 2028 годов согласно приложению № 17 к настоящему решению.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Порядок предоставления муниципальных гарантий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устанавливается нормативным правовым актом Администрации Казанского муниципального округа.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Общий объем бюджетных ассигнований на исполнение муниципальных гарантий Казанского муниципального округа </w:t>
      </w:r>
      <w:r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 по возможным гарантийным случаям устанавливается  на 2026 год в сумме 0 тыс. рублей, на 2027 год в сумме 0 тыс. рублей,  на 2028 год в сумме 0  тыс. рублей.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9.   Вступление в силу настоящего решения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 Настоящее решение вступает в силу с 1 января 2026 года.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eastAsia="Calibri"/>
          <w:sz w:val="26"/>
          <w:szCs w:val="26"/>
          <w:lang w:eastAsia="en-US"/>
        </w:rPr>
        <w:t>Настоящее решение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3">
        <w:r>
          <w:rPr>
            <w:rStyle w:val="Style4"/>
            <w:rFonts w:eastAsia="Calibri"/>
            <w:sz w:val="26"/>
            <w:szCs w:val="26"/>
            <w:lang w:eastAsia="en-US"/>
          </w:rPr>
          <w:t>https://megatyumen.ru/</w:t>
        </w:r>
      </w:hyperlink>
      <w:r>
        <w:rPr>
          <w:rFonts w:eastAsia="Calibri"/>
          <w:sz w:val="26"/>
          <w:szCs w:val="26"/>
          <w:lang w:eastAsia="en-US"/>
        </w:rPr>
        <w:t xml:space="preserve">) </w:t>
      </w:r>
      <w:r>
        <w:rPr>
          <w:sz w:val="26"/>
          <w:szCs w:val="26"/>
        </w:rPr>
        <w:t>и на официальном сайте Казанского муниципального округа.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Казанского муниципального округа                                           Т.А.Богданова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566" w:gutter="0" w:header="0" w:top="567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6b4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e775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6e6b4b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6e6b4b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6e6b4b"/>
    <w:pPr>
      <w:keepNext w:val="true"/>
      <w:overflowPunct w:val="false"/>
      <w:jc w:val="center"/>
      <w:textAlignment w:val="baseline"/>
      <w:outlineLvl w:val="5"/>
    </w:pPr>
    <w:rPr>
      <w:sz w:val="36"/>
      <w:szCs w:val="20"/>
    </w:rPr>
  </w:style>
  <w:style w:type="paragraph" w:styleId="Heading7">
    <w:name w:val="heading 7"/>
    <w:basedOn w:val="Normal"/>
    <w:next w:val="Normal"/>
    <w:link w:val="7"/>
    <w:qFormat/>
    <w:rsid w:val="006e6b4b"/>
    <w:pPr>
      <w:spacing w:before="240" w:after="60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6e6b4b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qFormat/>
    <w:rsid w:val="006e6b4b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6e6b4b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6e6b4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Заголовок Знак"/>
    <w:basedOn w:val="DefaultParagraphFont"/>
    <w:qFormat/>
    <w:rsid w:val="006e6b4b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Style10" w:customStyle="1">
    <w:name w:val="Подзаголовок Знак"/>
    <w:basedOn w:val="DefaultParagraphFont"/>
    <w:qFormat/>
    <w:rsid w:val="006e6b4b"/>
    <w:rPr>
      <w:rFonts w:ascii="Arial" w:hAnsi="Arial" w:eastAsia="Times New Roman" w:cs="Arial"/>
      <w:sz w:val="24"/>
      <w:szCs w:val="24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e6b4b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Основной текст с отступом Знак"/>
    <w:basedOn w:val="DefaultParagraphFont"/>
    <w:qFormat/>
    <w:rsid w:val="00080dd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be775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Hyperlink">
    <w:name w:val="Hyperlink"/>
    <w:rsid w:val="00a664f8"/>
    <w:rPr>
      <w:color w:val="0000FF"/>
      <w:u w:val="single"/>
    </w:rPr>
  </w:style>
  <w:style w:type="character" w:styleId="41">
    <w:name w:val="Основной шрифт абзаца4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e6b4b"/>
    <w:pPr>
      <w:spacing w:before="0" w:after="0"/>
      <w:ind w:left="720"/>
      <w:contextualSpacing/>
    </w:pPr>
    <w:rPr/>
  </w:style>
  <w:style w:type="paragraph" w:styleId="Title">
    <w:name w:val="Title"/>
    <w:basedOn w:val="Normal"/>
    <w:next w:val="Subtitle"/>
    <w:link w:val="Style9"/>
    <w:qFormat/>
    <w:rsid w:val="006e6b4b"/>
    <w:pPr>
      <w:suppressAutoHyphens w:val="true"/>
      <w:jc w:val="center"/>
    </w:pPr>
    <w:rPr>
      <w:b/>
      <w:bCs/>
      <w:lang w:eastAsia="ar-SA"/>
    </w:rPr>
  </w:style>
  <w:style w:type="paragraph" w:styleId="Subtitle">
    <w:name w:val="Subtitle"/>
    <w:basedOn w:val="Normal"/>
    <w:link w:val="Style10"/>
    <w:qFormat/>
    <w:rsid w:val="006e6b4b"/>
    <w:pPr>
      <w:spacing w:before="0"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6e6b4b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2"/>
    <w:unhideWhenUsed/>
    <w:rsid w:val="00080dd0"/>
    <w:pPr>
      <w:ind w:left="-540"/>
      <w:jc w:val="both"/>
    </w:pPr>
    <w:rPr>
      <w:sz w:val="28"/>
    </w:rPr>
  </w:style>
  <w:style w:type="paragraph" w:styleId="ConsPlusTitle" w:customStyle="1">
    <w:name w:val="ConsPlusTitle"/>
    <w:qFormat/>
    <w:rsid w:val="0015746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b65bdd"/>
    <w:pPr>
      <w:spacing w:lineRule="auto" w:line="288" w:before="280" w:after="142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7377ed"/>
    <w:pPr>
      <w:spacing w:lineRule="auto" w:line="360" w:beforeAutospacing="1" w:afterAutospacing="1"/>
      <w:jc w:val="both"/>
    </w:pPr>
    <w:rPr/>
  </w:style>
  <w:style w:type="paragraph" w:styleId="Style15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Style15"/>
    <w:pPr>
      <w:suppressLineNumbers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egatyume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LibreOffice/25.2.6.2$Windows_X86_64 LibreOffice_project/729c5bfe710f5eb71ed3bbde9e06a6065e9c6c5d</Application>
  <AppVersion>15.0000</AppVersion>
  <Pages>7</Pages>
  <Words>2486</Words>
  <Characters>17253</Characters>
  <CharactersWithSpaces>20224</CharactersWithSpaces>
  <Paragraphs>100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2025-10-27T07:54:00Z</dcterms:created>
  <dc:creator>kaz-13-01</dc:creator>
  <dc:description/>
  <dc:language>ru-RU</dc:language>
  <cp:lastModifiedBy/>
  <cp:lastPrinted>2025-10-27T14:10:53Z</cp:lastPrinted>
  <dcterms:modified xsi:type="dcterms:W3CDTF">2025-10-27T14:56:34Z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